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 w:val="24"/>
          <w:szCs w:val="24"/>
          <w:rFonts w:ascii="Times New Roman" w:hAnsi="Times New Roman"/>
        </w:rPr>
      </w:pPr>
      <w:r>
        <w:rPr/>
        <w:drawing>
          <wp:inline distT="0" distB="0" distL="0" distR="0">
            <wp:extent cx="842645" cy="9067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2645" cy="906780"/>
                    </a:xfrm>
                    <a:prstGeom prst="rect">
                      <a:avLst/>
                    </a:prstGeom>
                    <a:noFill/>
                    <a:ln w="9525">
                      <a:noFill/>
                      <a:miter lim="800000"/>
                      <a:headEnd/>
                      <a:tailEnd/>
                    </a:ln>
                  </pic:spPr>
                </pic:pic>
              </a:graphicData>
            </a:graphic>
          </wp:inline>
        </w:drawing>
      </w:r>
      <w:r/>
    </w:p>
    <w:p>
      <w:pPr>
        <w:pStyle w:val="Normal"/>
        <w:shd w:val="clear" w:color="auto" w:themeColor="" w:themeTint="" w:themeShade="" w:fill="B8CCE4" w:themeFill="accent1" w:themeFillTint="66" w:themeFillShade=""/>
        <w:spacing w:lineRule="auto" w:line="240" w:before="0" w:after="0"/>
        <w:jc w:val="center"/>
        <w:rPr>
          <w:sz w:val="24"/>
          <w:i/>
          <w:b/>
          <w:sz w:val="24"/>
          <w:i/>
          <w:b/>
          <w:szCs w:val="24"/>
          <w:rFonts w:ascii="Times New Roman" w:hAnsi="Times New Roman"/>
        </w:rPr>
      </w:pPr>
      <w:r>
        <w:rPr>
          <w:rFonts w:ascii="Times New Roman" w:hAnsi="Times New Roman"/>
          <w:b/>
          <w:i/>
          <w:sz w:val="24"/>
          <w:szCs w:val="24"/>
        </w:rPr>
        <w:t>La transmission groupée des demandes de titres</w:t>
      </w:r>
      <w:r/>
    </w:p>
    <w:p>
      <w:pPr>
        <w:pStyle w:val="Normal"/>
        <w:shd w:val="clear" w:color="auto" w:themeColor="" w:themeTint="" w:themeShade="" w:fill="B8CCE4" w:themeFill="accent1" w:themeFillTint="66" w:themeFillShade=""/>
        <w:spacing w:lineRule="auto" w:line="240" w:before="0" w:after="0"/>
        <w:jc w:val="center"/>
        <w:rPr>
          <w:sz w:val="24"/>
          <w:i/>
          <w:b/>
          <w:sz w:val="24"/>
          <w:i/>
          <w:b/>
          <w:szCs w:val="24"/>
          <w:rFonts w:ascii="Times New Roman" w:hAnsi="Times New Roman"/>
        </w:rPr>
      </w:pPr>
      <w:r>
        <w:rPr>
          <w:rFonts w:ascii="Times New Roman" w:hAnsi="Times New Roman"/>
          <w:b/>
          <w:i/>
          <w:sz w:val="24"/>
          <w:szCs w:val="24"/>
        </w:rPr>
        <w:t>au CNAPS</w:t>
      </w:r>
      <w:r/>
    </w:p>
    <w:p>
      <w:pPr>
        <w:pStyle w:val="Normal"/>
        <w:spacing w:before="240" w:after="0"/>
        <w:jc w:val="both"/>
        <w:rPr>
          <w:rFonts w:ascii="Times New Roman" w:hAnsi="Times New Roman" w:eastAsia="Times New Roman" w:cs="Times New Roman"/>
          <w:lang w:eastAsia="fr-FR"/>
        </w:rPr>
      </w:pPr>
      <w:r>
        <w:rPr>
          <w:rFonts w:ascii="Times New Roman" w:hAnsi="Times New Roman"/>
        </w:rPr>
      </w:r>
      <w:r/>
    </w:p>
    <w:p>
      <w:pPr>
        <w:pStyle w:val="Normal"/>
        <w:jc w:val="both"/>
        <w:rPr>
          <w:rFonts w:ascii="Times New Roman" w:hAnsi="Times New Roman"/>
        </w:rPr>
      </w:pPr>
      <w:r>
        <w:rPr>
          <w:rFonts w:ascii="Times New Roman" w:hAnsi="Times New Roman"/>
        </w:rPr>
        <w:t>Pour faciliter l’instruction des demandes des demandes de carte professionnelle, le CNAPS met en place à titre exceptionnel une procédure de transmission groupée des dossiers des salariés par leur employeur.</w:t>
      </w:r>
      <w:r/>
    </w:p>
    <w:p>
      <w:pPr>
        <w:pStyle w:val="Normal"/>
        <w:jc w:val="both"/>
        <w:rPr>
          <w:rFonts w:ascii="Times New Roman" w:hAnsi="Times New Roman"/>
        </w:rPr>
      </w:pPr>
      <w:r>
        <w:rPr>
          <w:rFonts w:ascii="Times New Roman" w:hAnsi="Times New Roman"/>
        </w:rPr>
        <w:t>Cette procédure de dépôt simplifiée s’organise en sept étapes.</w:t>
      </w:r>
      <w:r/>
    </w:p>
    <w:p>
      <w:pPr>
        <w:pStyle w:val="Normal"/>
        <w:jc w:val="both"/>
        <w:rPr>
          <w:rFonts w:ascii="Times New Roman" w:hAnsi="Times New Roman" w:eastAsia="Times New Roman" w:cs="Times New Roman"/>
          <w:lang w:eastAsia="fr-FR"/>
        </w:rPr>
      </w:pPr>
      <w:r>
        <w:rPr>
          <w:rFonts w:ascii="Times New Roman" w:hAnsi="Times New Roman"/>
        </w:rPr>
      </w:r>
      <w:r/>
    </w:p>
    <w:p>
      <w:pPr>
        <w:pStyle w:val="Normal"/>
        <w:shd w:val="clear" w:color="auto" w:themeColor="" w:themeTint="" w:themeShade="" w:fill="B8CCE4" w:themeFill="accent1" w:themeFillTint="66" w:themeFillShade=""/>
        <w:spacing w:lineRule="auto" w:line="240" w:before="0" w:after="0"/>
        <w:jc w:val="center"/>
        <w:rPr>
          <w:sz w:val="16"/>
          <w:i/>
          <w:b/>
          <w:sz w:val="16"/>
          <w:i/>
          <w:b/>
          <w:szCs w:val="16"/>
          <w:rFonts w:ascii="Times New Roman" w:hAnsi="Times New Roman" w:eastAsia="Times New Roman" w:cs="Times New Roman"/>
          <w:lang w:eastAsia="fr-FR"/>
        </w:rPr>
      </w:pPr>
      <w:r>
        <w:rPr>
          <w:rFonts w:ascii="Times New Roman" w:hAnsi="Times New Roman"/>
          <w:b/>
          <w:i/>
          <w:sz w:val="16"/>
          <w:szCs w:val="16"/>
        </w:rPr>
      </w:r>
      <w:r/>
    </w:p>
    <w:p>
      <w:pPr>
        <w:pStyle w:val="Normal"/>
        <w:shd w:val="clear" w:color="auto" w:themeColor="" w:themeTint="" w:themeShade="" w:fill="B8CCE4" w:themeFill="accent1" w:themeFillTint="66" w:themeFillShade=""/>
        <w:spacing w:lineRule="auto" w:line="240" w:before="0" w:after="0"/>
        <w:jc w:val="center"/>
        <w:rPr>
          <w:sz w:val="24"/>
          <w:i/>
          <w:b/>
          <w:sz w:val="24"/>
          <w:i/>
          <w:b/>
          <w:szCs w:val="24"/>
          <w:rFonts w:ascii="Times New Roman" w:hAnsi="Times New Roman"/>
        </w:rPr>
      </w:pPr>
      <w:r>
        <w:rPr>
          <w:rFonts w:ascii="Times New Roman" w:hAnsi="Times New Roman"/>
          <w:b/>
          <w:i/>
          <w:sz w:val="24"/>
          <w:szCs w:val="24"/>
        </w:rPr>
        <w:t>Les cinq étapes de la procédure d’envoi groupé</w:t>
      </w:r>
      <w:r/>
    </w:p>
    <w:p>
      <w:pPr>
        <w:pStyle w:val="Normal"/>
        <w:shd w:val="clear" w:color="auto" w:themeColor="" w:themeTint="" w:themeShade="" w:fill="B8CCE4" w:themeFill="accent1" w:themeFillTint="66" w:themeFillShade=""/>
        <w:spacing w:lineRule="auto" w:line="240" w:before="0" w:after="0"/>
        <w:jc w:val="center"/>
        <w:rPr>
          <w:sz w:val="16"/>
          <w:i/>
          <w:b/>
          <w:sz w:val="16"/>
          <w:i/>
          <w:b/>
          <w:szCs w:val="16"/>
          <w:rFonts w:ascii="Times New Roman" w:hAnsi="Times New Roman" w:eastAsia="Times New Roman" w:cs="Times New Roman"/>
          <w:lang w:eastAsia="fr-FR"/>
        </w:rPr>
      </w:pPr>
      <w:r>
        <w:rPr>
          <w:rFonts w:ascii="Times New Roman" w:hAnsi="Times New Roman"/>
          <w:b/>
          <w:i/>
          <w:sz w:val="16"/>
          <w:szCs w:val="16"/>
        </w:rPr>
      </w:r>
      <w:r/>
    </w:p>
    <w:p>
      <w:pPr>
        <w:pStyle w:val="Normal"/>
        <w:jc w:val="both"/>
        <w:rPr>
          <w:rFonts w:ascii="Calibri" w:hAnsi="Calibri" w:eastAsia="Times New Roman" w:cs="Times New Roman"/>
          <w:lang w:eastAsia="fr-FR"/>
        </w:rPr>
      </w:pPr>
      <w:r>
        <w:rPr/>
      </w:r>
      <w:r/>
    </w:p>
    <w:p>
      <w:pPr>
        <w:pStyle w:val="ListParagraph"/>
        <w:numPr>
          <w:ilvl w:val="0"/>
          <w:numId w:val="1"/>
        </w:numPr>
        <w:jc w:val="both"/>
        <w:rPr>
          <w:rFonts w:ascii="Times New Roman" w:hAnsi="Times New Roman"/>
        </w:rPr>
      </w:pPr>
      <w:r>
        <w:rPr>
          <w:rFonts w:ascii="Times New Roman" w:hAnsi="Times New Roman"/>
        </w:rPr>
        <w:t>L’employeur informe les salariés intéressés de la mise en place de la procédure d’envoi groupé des dossiers de demande de carte professionnelle. Le recours à cette procédure ne constitue pas une obligation pour le salarié qui conserve la possibilité d’accepter ou non d’y recourir. En cas de refus, le salarié adresse lui-même sa demande de carte professionnelle au CNAPS.</w:t>
      </w:r>
      <w:r/>
    </w:p>
    <w:p>
      <w:pPr>
        <w:pStyle w:val="ListParagraph"/>
        <w:jc w:val="both"/>
        <w:rPr>
          <w:rFonts w:ascii="Times New Roman" w:hAnsi="Times New Roman" w:eastAsia="Times New Roman" w:cs="Times New Roman"/>
          <w:lang w:eastAsia="fr-FR"/>
        </w:rPr>
      </w:pPr>
      <w:r>
        <w:rPr>
          <w:rFonts w:ascii="Times New Roman" w:hAnsi="Times New Roman"/>
        </w:rPr>
      </w:r>
      <w:r/>
    </w:p>
    <w:p>
      <w:pPr>
        <w:pStyle w:val="ListParagraph"/>
        <w:numPr>
          <w:ilvl w:val="0"/>
          <w:numId w:val="1"/>
        </w:numPr>
        <w:jc w:val="both"/>
        <w:rPr>
          <w:rFonts w:ascii="Times New Roman" w:hAnsi="Times New Roman"/>
        </w:rPr>
      </w:pPr>
      <w:r>
        <w:rPr>
          <w:rFonts w:ascii="Times New Roman" w:hAnsi="Times New Roman"/>
        </w:rPr>
        <w:t>L’employeur recueille les formulaires complétés, datés et signés par chaque demandeur et complète l’encadré qui lui est réservé dans les formulaires de demande de carte professionnelle.</w:t>
      </w:r>
      <w:r/>
    </w:p>
    <w:p>
      <w:pPr>
        <w:pStyle w:val="ListParagraph"/>
        <w:jc w:val="both"/>
        <w:rPr>
          <w:rFonts w:ascii="Times New Roman" w:hAnsi="Times New Roman" w:eastAsia="Times New Roman" w:cs="Times New Roman"/>
          <w:lang w:eastAsia="fr-FR"/>
        </w:rPr>
      </w:pPr>
      <w:r>
        <w:rPr>
          <w:rFonts w:ascii="Times New Roman" w:hAnsi="Times New Roman"/>
        </w:rPr>
      </w:r>
      <w:r/>
    </w:p>
    <w:p>
      <w:pPr>
        <w:pStyle w:val="ListParagraph"/>
        <w:numPr>
          <w:ilvl w:val="0"/>
          <w:numId w:val="1"/>
        </w:numPr>
        <w:jc w:val="both"/>
        <w:rPr>
          <w:rFonts w:ascii="Times New Roman" w:hAnsi="Times New Roman"/>
        </w:rPr>
      </w:pPr>
      <w:r>
        <w:rPr>
          <w:rFonts w:ascii="Times New Roman" w:hAnsi="Times New Roman"/>
        </w:rPr>
        <w:t>Après vérification des pièces justificatives, l’employeur remet au demandeur une copie de la page du formulaire correspondant à l’avis de transmission de son dossier au CNAPS.</w:t>
      </w:r>
      <w:r/>
    </w:p>
    <w:p>
      <w:pPr>
        <w:pStyle w:val="ListParagraph"/>
        <w:jc w:val="both"/>
        <w:rPr>
          <w:rFonts w:ascii="Times New Roman" w:hAnsi="Times New Roman" w:eastAsia="Times New Roman" w:cs="Times New Roman"/>
          <w:lang w:eastAsia="fr-FR"/>
        </w:rPr>
      </w:pPr>
      <w:r>
        <w:rPr>
          <w:rFonts w:ascii="Times New Roman" w:hAnsi="Times New Roman"/>
        </w:rPr>
      </w:r>
      <w:r/>
    </w:p>
    <w:p>
      <w:pPr>
        <w:pStyle w:val="ListParagraph"/>
        <w:numPr>
          <w:ilvl w:val="0"/>
          <w:numId w:val="1"/>
        </w:numPr>
        <w:jc w:val="both"/>
        <w:rPr>
          <w:rFonts w:ascii="Times New Roman" w:hAnsi="Times New Roman"/>
        </w:rPr>
      </w:pPr>
      <w:r>
        <w:rPr>
          <w:rFonts w:ascii="Times New Roman" w:hAnsi="Times New Roman"/>
        </w:rPr>
        <w:t>Les dossiers doivent être adressés par la voie postale ou déposés à la préfecture (administration supérieure) des Iles Wallis et Futuna.</w:t>
      </w:r>
      <w:r/>
    </w:p>
    <w:p>
      <w:pPr>
        <w:pStyle w:val="ListParagraph"/>
        <w:jc w:val="both"/>
        <w:rPr>
          <w:rFonts w:ascii="Times New Roman" w:hAnsi="Times New Roman" w:eastAsia="Times New Roman" w:cs="Times New Roman"/>
          <w:lang w:eastAsia="fr-FR"/>
        </w:rPr>
      </w:pPr>
      <w:r>
        <w:rPr>
          <w:rFonts w:ascii="Times New Roman" w:hAnsi="Times New Roman"/>
        </w:rPr>
      </w:r>
      <w:r/>
    </w:p>
    <w:p>
      <w:pPr>
        <w:pStyle w:val="ListParagraph"/>
        <w:numPr>
          <w:ilvl w:val="0"/>
          <w:numId w:val="1"/>
        </w:numPr>
        <w:jc w:val="both"/>
        <w:rPr>
          <w:rFonts w:ascii="Times New Roman" w:hAnsi="Times New Roman"/>
        </w:rPr>
      </w:pPr>
      <w:r>
        <w:rPr>
          <w:rFonts w:ascii="Times New Roman" w:hAnsi="Times New Roman"/>
        </w:rPr>
        <w:t>Après vérification de la complétude des dossiers, la préfecture adresse à l’employeur les accusés de réceptions individuels qu’il remettra aux demandeurs concernés.</w:t>
      </w:r>
      <w:r/>
    </w:p>
    <w:p>
      <w:pPr>
        <w:pStyle w:val="ListParagraph"/>
        <w:rPr>
          <w:rFonts w:ascii="Times New Roman" w:hAnsi="Times New Roman" w:eastAsia="Times New Roman" w:cs="Times New Roman"/>
          <w:lang w:eastAsia="fr-FR"/>
        </w:rPr>
      </w:pPr>
      <w:r>
        <w:rPr>
          <w:rFonts w:ascii="Times New Roman" w:hAnsi="Times New Roman"/>
        </w:rPr>
      </w:r>
      <w:r/>
    </w:p>
    <w:p>
      <w:pPr>
        <w:pStyle w:val="ListParagraph"/>
        <w:rPr>
          <w:rFonts w:ascii="Times New Roman" w:hAnsi="Times New Roman" w:eastAsia="Times New Roman" w:cs="Times New Roman"/>
          <w:lang w:eastAsia="fr-FR"/>
        </w:rPr>
      </w:pPr>
      <w:r>
        <w:rPr>
          <w:rFonts w:ascii="Times New Roman" w:hAnsi="Times New Roman"/>
        </w:rPr>
      </w:r>
      <w:r/>
    </w:p>
    <w:p>
      <w:pPr>
        <w:pStyle w:val="Normal"/>
        <w:shd w:val="clear" w:color="auto" w:themeColor="" w:themeTint="" w:themeShade="" w:fill="95B3D7" w:themeFill="accent1" w:themeFillTint="99" w:themeFillShade=""/>
        <w:jc w:val="center"/>
        <w:rPr>
          <w:rFonts w:ascii="Times New Roman" w:hAnsi="Times New Roman"/>
        </w:rPr>
      </w:pPr>
      <w:r>
        <w:rPr>
          <w:rFonts w:ascii="Times New Roman" w:hAnsi="Times New Roman"/>
          <w:b/>
          <w:i/>
          <w:sz w:val="24"/>
          <w:szCs w:val="24"/>
        </w:rPr>
        <w:t>Points d’attention</w:t>
      </w:r>
      <w:r/>
    </w:p>
    <w:p>
      <w:pPr>
        <w:pStyle w:val="Normal"/>
        <w:jc w:val="both"/>
      </w:pPr>
      <w:r>
        <w:rPr>
          <w:rFonts w:ascii="Times New Roman" w:hAnsi="Times New Roman"/>
        </w:rPr>
        <w:t>– </w:t>
      </w:r>
      <w:r>
        <w:rPr>
          <w:rFonts w:ascii="Times New Roman" w:hAnsi="Times New Roman"/>
        </w:rPr>
        <w:t>Quelque soit le mode de transmission retenu, le demandeur reste l’interlocuteur unique du CNAPS pour l’examen de son dossier. Les demandes de pièces complémentaires ainsi que la décision de rejet ou d’acceptation de la demande de carte professionnelle lui seront adressées directement et non par l’intermédiaire de son employeur.</w:t>
      </w:r>
      <w:r/>
    </w:p>
    <w:p>
      <w:pPr>
        <w:pStyle w:val="Normal"/>
        <w:jc w:val="both"/>
      </w:pPr>
      <w:r>
        <w:rPr>
          <w:rFonts w:ascii="Times New Roman" w:hAnsi="Times New Roman"/>
        </w:rPr>
        <w:t>– </w:t>
      </w:r>
      <w:r>
        <w:rPr>
          <w:rFonts w:ascii="Times New Roman" w:hAnsi="Times New Roman"/>
        </w:rPr>
        <w:t>Les salariés qui acceptent la procédure de transmission groupée proposé par l’employeur ne peuvent adresser directement leur dossier au CNAPS.</w:t>
      </w:r>
      <w:r/>
    </w:p>
    <w:p>
      <w:pPr>
        <w:pStyle w:val="Normal"/>
        <w:jc w:val="both"/>
      </w:pPr>
      <w:r>
        <w:rPr>
          <w:rFonts w:ascii="Times New Roman" w:hAnsi="Times New Roman"/>
        </w:rPr>
        <w:t>– </w:t>
      </w:r>
      <w:r>
        <w:rPr>
          <w:rFonts w:ascii="Times New Roman" w:hAnsi="Times New Roman"/>
        </w:rPr>
        <w:t xml:space="preserve">Lorsque la carte professionnelle est accordée, les demandeurs comme l’employeur, pourront accéder au statut du titre en consultant les téléservices du CNAPS, sur le site internet </w:t>
      </w:r>
      <w:r>
        <w:rPr>
          <w:rFonts w:ascii="Times New Roman" w:hAnsi="Times New Roman"/>
          <w:u w:val="single"/>
        </w:rPr>
        <w:t>www.cnaps-securite.fr</w:t>
      </w:r>
      <w:r>
        <w:rPr>
          <w:rFonts w:ascii="Times New Roman" w:hAnsi="Times New Roman"/>
        </w:rPr>
        <w:t>.</w:t>
      </w:r>
      <w:r/>
    </w:p>
    <w:p>
      <w:pPr>
        <w:pStyle w:val="Normal"/>
        <w:jc w:val="both"/>
        <w:rPr>
          <w:rFonts w:ascii="Calibri" w:hAnsi="Calibri" w:eastAsia="Times New Roman" w:cs="Times New Roman"/>
          <w:lang w:eastAsia="fr-FR"/>
        </w:rPr>
      </w:pPr>
      <w:r>
        <w:rPr/>
      </w:r>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rPr>
            <w:rFonts w:ascii="Calibri" w:hAnsi="Calibri" w:eastAsia="Times New Roman" w:cs="Times New Roman"/>
            <w:lang w:eastAsia="fr-FR"/>
          </w:rPr>
        </w:pPr>
        <w:r>
          <w:rPr/>
          <mc:AlternateContent>
            <mc:Choice Requires="wpg">
              <w:drawing>
                <wp:anchor behindDoc="1" distT="0" distB="0" distL="114300" distR="114300" simplePos="0" locked="0" layoutInCell="1" allowOverlap="1" relativeHeight="3">
                  <wp:simplePos x="0" y="0"/>
                  <wp:positionH relativeFrom="column">
                    <wp:align>right</wp:align>
                  </wp:positionH>
                  <wp:positionV relativeFrom="page">
                    <wp:align>bottom</wp:align>
                  </wp:positionV>
                  <wp:extent cx="437515" cy="716915"/>
                  <wp:effectExtent l="0" t="0" r="0" b="0"/>
                  <wp:wrapNone/>
                  <wp:docPr id="2" name=""/>
                  <a:graphic xmlns:a="http://schemas.openxmlformats.org/drawingml/2006/main">
                    <a:graphicData uri="http://schemas.microsoft.com/office/word/2010/wordprocessingGroup">
                      <wpg:wgp>
                        <wpg:cNvGrpSpPr/>
                        <wpg:grpSpPr>
                          <a:xfrm rot="10800000">
                            <a:off x="0" y="0"/>
                            <a:ext cx="437040" cy="716400"/>
                          </a:xfrm>
                        </wpg:grpSpPr>
                        <wps:wsp>
                          <wps:cNvSpPr/>
                          <wps:spPr>
                            <a:xfrm flipV="1">
                              <a:off x="232920" y="436320"/>
                              <a:ext cx="720" cy="280080"/>
                            </a:xfrm>
                            <a:prstGeom prst="straightConnector1">
                              <a:avLst/>
                            </a:prstGeom>
                            <a:noFill/>
                            <a:ln>
                              <a:solidFill>
                                <a:srgbClr val="7f7f7f"/>
                              </a:solidFill>
                            </a:ln>
                          </wps:spPr>
                          <wps:style>
                            <a:lnRef idx="0"/>
                            <a:fillRef idx="0"/>
                            <a:effectRef idx="0"/>
                            <a:fontRef idx="minor"/>
                          </wps:style>
                          <wps:bodyPr/>
                        </wps:wsp>
                        <wps:wsp>
                          <wps:cNvSpPr txBox="1"/>
                          <wps:spPr>
                            <a:xfrm>
                              <a:off x="0" y="0"/>
                              <a:ext cx="437040" cy="437040"/>
                            </a:xfrm>
                            <a:prstGeom prst="rect">
                              <a:avLst/>
                            </a:prstGeom>
                            <a:noFill/>
                            <a:ln>
                              <a:solidFill>
                                <a:srgbClr val="7f7f7f"/>
                              </a:solidFill>
                            </a:ln>
                          </wps:spPr>
                          <wps:bodyPr/>
                        </wps:wsp>
                      </wpg:wgp>
                    </a:graphicData>
                  </a:graphic>
                </wp:anchor>
              </w:drawing>
            </mc:Choice>
            <mc:Fallback>
              <w:pict>
                <v:group id="shape_0" style="position:absolute;margin-left:479.85pt;margin-top:785.45pt;width:34.4pt;height:56.35pt" coordorigin="9597,15709" coordsize="688,1127">
                  <v:shapetype id="shapetype_32" coordsize="21600,21600" o:spt="32" path="m,l21600,21600nfe">
                    <v:stroke joinstyle="miter"/>
                    <v:path gradientshapeok="t" o:connecttype="rect" textboxrect="0,0,21600,21600"/>
                  </v:shapetype>
                  <v:shape id="shape_0" stroked="t" style="position:absolute;left:9964;top:16396;width:0;height:440;flip:y;mso-position-horizontal:right;mso-position-vertical:bottom;mso-position-vertical-relative:page" type="shapetype_32">
                    <w10:wrap type="none"/>
                    <v:fill on="false" o:detectmouseclick="t"/>
                    <v:stroke color="#7f7f7f" joinstyle="round" endcap="flat"/>
                  </v:shape>
                  <v:shapetype id="shapetype_202" coordsize="21600,21600" o:spt="202" path="m,l,21600l21600,21600l21600,xe">
                    <v:stroke joinstyle="miter"/>
                    <v:path gradientshapeok="t" o:connecttype="rect"/>
                  </v:shapetype>
                  <v:shape id="shape_0" stroked="t" style="position:absolute;left:9597;top:15709;width:687;height:687;mso-position-horizontal:right;mso-position-vertical:bottom;mso-position-vertical-relative:page" type="shapetype_202">
                    <w10:wrap type="none"/>
                    <v:fill on="false" o:detectmouseclick="t"/>
                    <v:stroke color="#7f7f7f" joinstyle="round" endcap="flat"/>
                  </v:shape>
                </v:group>
              </w:pict>
            </mc:Fallback>
          </mc:AlternateContent>
        </w: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6"/>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a49cb"/>
    <w:pPr>
      <w:widowControl/>
      <w:suppressAutoHyphens w:val="true"/>
      <w:bidi w:val="0"/>
      <w:spacing w:lineRule="auto" w:line="276" w:before="0" w:after="200"/>
      <w:jc w:val="left"/>
    </w:pPr>
    <w:rPr>
      <w:rFonts w:ascii="Calibri" w:hAnsi="Calibri" w:eastAsia="Times New Roman" w:cs="Times New Roman" w:asciiTheme="minorHAnsi" w:hAnsiTheme="minorHAnsi"/>
      <w:color w:val="auto"/>
      <w:sz w:val="22"/>
      <w:szCs w:val="22"/>
      <w:lang w:eastAsia="fr-FR" w:val="fr-FR"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7d49ce"/>
    <w:rPr>
      <w:b/>
      <w:bCs/>
    </w:rPr>
  </w:style>
  <w:style w:type="character" w:styleId="TextedebullesCar" w:customStyle="1">
    <w:name w:val="Texte de bulles Car"/>
    <w:basedOn w:val="DefaultParagraphFont"/>
    <w:link w:val="Textedebulles"/>
    <w:uiPriority w:val="99"/>
    <w:semiHidden/>
    <w:rsid w:val="00ea49cb"/>
    <w:rPr>
      <w:rFonts w:ascii="Tahoma" w:hAnsi="Tahoma" w:eastAsia="Times New Roman" w:cs="Tahoma"/>
      <w:sz w:val="16"/>
      <w:szCs w:val="16"/>
      <w:lang w:eastAsia="fr-FR"/>
    </w:rPr>
  </w:style>
  <w:style w:type="character" w:styleId="Annotationreference">
    <w:name w:val="annotation reference"/>
    <w:basedOn w:val="DefaultParagraphFont"/>
    <w:uiPriority w:val="99"/>
    <w:semiHidden/>
    <w:unhideWhenUsed/>
    <w:rsid w:val="004a5ae7"/>
    <w:rPr>
      <w:sz w:val="16"/>
      <w:szCs w:val="16"/>
    </w:rPr>
  </w:style>
  <w:style w:type="character" w:styleId="CommentaireCar" w:customStyle="1">
    <w:name w:val="Commentaire Car"/>
    <w:basedOn w:val="DefaultParagraphFont"/>
    <w:link w:val="Commentaire"/>
    <w:uiPriority w:val="99"/>
    <w:semiHidden/>
    <w:rsid w:val="004a5ae7"/>
    <w:rPr>
      <w:rFonts w:ascii="Calibri" w:hAnsi="Calibri"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rsid w:val="004a5ae7"/>
    <w:rPr>
      <w:b/>
      <w:bCs/>
    </w:rPr>
  </w:style>
  <w:style w:type="character" w:styleId="LienInternet">
    <w:name w:val="Lien Internet"/>
    <w:basedOn w:val="DefaultParagraphFont"/>
    <w:uiPriority w:val="99"/>
    <w:unhideWhenUsed/>
    <w:rsid w:val="007418fe"/>
    <w:rPr>
      <w:color w:val="0000FF" w:themeColor="hyperlink"/>
      <w:u w:val="single"/>
      <w:lang w:val="zxx" w:eastAsia="zxx" w:bidi="zxx"/>
    </w:rPr>
  </w:style>
  <w:style w:type="character" w:styleId="EntteCar" w:customStyle="1">
    <w:name w:val="En-tête Car"/>
    <w:basedOn w:val="DefaultParagraphFont"/>
    <w:link w:val="En-tte"/>
    <w:uiPriority w:val="99"/>
    <w:semiHidden/>
    <w:rsid w:val="00cd000a"/>
    <w:rPr>
      <w:rFonts w:ascii="Calibri" w:hAnsi="Calibri" w:eastAsia="Times New Roman" w:cs="Times New Roman"/>
      <w:lang w:eastAsia="fr-FR"/>
    </w:rPr>
  </w:style>
  <w:style w:type="character" w:styleId="PieddepageCar" w:customStyle="1">
    <w:name w:val="Pied de page Car"/>
    <w:basedOn w:val="DefaultParagraphFont"/>
    <w:link w:val="Pieddepage"/>
    <w:uiPriority w:val="99"/>
    <w:rsid w:val="00cd000a"/>
    <w:rPr>
      <w:rFonts w:ascii="Calibri" w:hAnsi="Calibri" w:eastAsia="Times New Roman" w:cs="Times New Roman"/>
      <w:lang w:eastAsia="fr-FR"/>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b/>
      <w:i/>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Revision">
    <w:name w:val="Revision"/>
    <w:uiPriority w:val="99"/>
    <w:semiHidden/>
    <w:rsid w:val="00ea49cb"/>
    <w:pPr>
      <w:widowControl/>
      <w:suppressAutoHyphens w:val="true"/>
      <w:bidi w:val="0"/>
      <w:spacing w:lineRule="auto" w:line="240" w:before="0" w:after="0"/>
      <w:jc w:val="left"/>
    </w:pPr>
    <w:rPr>
      <w:rFonts w:ascii="Calibri" w:hAnsi="Calibri" w:eastAsia="Times New Roman" w:cs="Times New Roman" w:asciiTheme="minorHAnsi" w:hAnsiTheme="minorHAnsi"/>
      <w:color w:val="auto"/>
      <w:sz w:val="22"/>
      <w:szCs w:val="22"/>
      <w:lang w:eastAsia="fr-FR" w:val="fr-FR" w:bidi="ar-SA"/>
    </w:rPr>
  </w:style>
  <w:style w:type="paragraph" w:styleId="BalloonText">
    <w:name w:val="Balloon Text"/>
    <w:basedOn w:val="Normal"/>
    <w:link w:val="TextedebullesCar"/>
    <w:uiPriority w:val="99"/>
    <w:semiHidden/>
    <w:unhideWhenUsed/>
    <w:rsid w:val="00ea49cb"/>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rsid w:val="004a5ae7"/>
    <w:pPr>
      <w:spacing w:lineRule="auto" w:line="240"/>
    </w:pPr>
    <w:rPr>
      <w:sz w:val="20"/>
      <w:szCs w:val="20"/>
    </w:rPr>
  </w:style>
  <w:style w:type="paragraph" w:styleId="Annotationsubject">
    <w:name w:val="annotation subject"/>
    <w:basedOn w:val="Annotationtext"/>
    <w:link w:val="ObjetducommentaireCar"/>
    <w:uiPriority w:val="99"/>
    <w:semiHidden/>
    <w:unhideWhenUsed/>
    <w:rsid w:val="004a5ae7"/>
    <w:pPr/>
    <w:rPr>
      <w:b/>
      <w:bCs/>
    </w:rPr>
  </w:style>
  <w:style w:type="paragraph" w:styleId="ListParagraph">
    <w:name w:val="List Paragraph"/>
    <w:basedOn w:val="Normal"/>
    <w:uiPriority w:val="34"/>
    <w:qFormat/>
    <w:rsid w:val="00a92970"/>
    <w:pPr>
      <w:spacing w:before="0" w:after="200"/>
      <w:ind w:left="720" w:hanging="0"/>
      <w:contextualSpacing/>
    </w:pPr>
    <w:rPr/>
  </w:style>
  <w:style w:type="paragraph" w:styleId="Entte">
    <w:name w:val="En-tête"/>
    <w:basedOn w:val="Normal"/>
    <w:link w:val="En-tteCar"/>
    <w:uiPriority w:val="99"/>
    <w:semiHidden/>
    <w:unhideWhenUsed/>
    <w:rsid w:val="00cd000a"/>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cd000a"/>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LibreOffice/4.3.7.2.0$Windows_x86 LibreOffice_project/48a90ee55c9f053c937b3e8638cc753652d70536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2013-10-15T12:43:00Z</dcterms:created>
  <dc:creator>WIN7SIMPLE</dc:creator>
  <dc:language>fr-FR</dc:language>
  <cp:lastPrinted>2016-03-21T10:23:00Z</cp:lastPrinted>
  <dcterms:modified xsi:type="dcterms:W3CDTF">2017-01-25T11:43:00Z</dcterms:modified>
  <cp:revision>41</cp:revision>
</cp:coreProperties>
</file>